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Alexandra Hermes</w:t>
      </w: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Informações pessoais</w:t>
      </w: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Data de nascimento: 30/08/1983</w:t>
      </w: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Estado civil: união estável</w:t>
      </w: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E-mail: ale_</w:t>
      </w:r>
      <w:hyperlink r:id="rId5">
        <w:r>
          <w:rPr>
            <w:color w:val="0563C1" w:themeColor="hyperlink"/>
            <w:position w:val="0"/>
            <w:sz w:val="20"/>
            <w:szCs w:val="20"/>
            <w:u w:val="single"/>
            <w:rFonts w:ascii="NanumGothic" w:eastAsia="NanumGothic" w:hAnsi="NanumGothic" w:hint="default"/>
          </w:rPr>
          <w:t>mgo@hotmail.com</w:t>
        </w:r>
      </w:hyperlink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Telefones para contato: 51 9 98664218 e 51 9 991432734</w:t>
      </w: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Endereço residencial: Nossa senhora aparecida, 362, harmonia, canoas</w:t>
      </w: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>Formação</w:t>
      </w: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Ensino Medio Completo</w:t>
      </w: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Experiências profissionais</w:t>
      </w: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Última: Com Med Brair</w:t>
      </w: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. De 12/2011 a 03/2017</w:t>
      </w: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Funções exercidas: atendimento ao público, operadora de caixa, balconista, recebimento e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conferência de mercadorias, organização e controle do estoque da loja, funções administrativas,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em 2014 promovida a gestora, responsável pela parte administrativa e de vendas.</w:t>
      </w: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 </w:t>
      </w: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Informações adicionais:</w:t>
      </w: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Disponibilidade de horários, não fumante, sem filhos, experiência com atendimento ao público.</w:t>
      </w: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Canoas, Abril De 2018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decimal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shd w:val="clear"/>
        <w:sz w:val="20"/>
        <w:szCs w:val="20"/>
        <w:w w:val="100"/>
      </w:rPr>
    </w:rPrDefault>
  </w:docDefaults>
  <w:style w:default="1" w:styleId="PO1" w:type="paragraph">
    <w:name w:val="Normal"/>
    <w:link w:val="PO-1"/>
    <w:qFormat/>
    <w:uiPriority w:val="1"/>
    <w:pPr>
      <w:autoSpaceDE w:val="1"/>
      <w:autoSpaceDN w:val="1"/>
      <w:jc w:val="both"/>
      <w:widowControl/>
      <w:wordWrap/>
    </w:pPr>
    <w:rPr>
      <w:shd w:val="clear"/>
      <w:sz w:val="20"/>
      <w:szCs w:val="20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0"/>
      <w:szCs w:val="20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mailto:mgo@hotmail.com" TargetMode="Externa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alehermes1983</dc:creator>
  <cp:lastModifiedBy>alehermes1983</cp:lastModifiedBy>
</cp:coreProperties>
</file>