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CURRICULUM PROFISSIONAL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DADOS PESSOAIS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0" distT="0" distL="0" distR="0">
            <wp:extent cx="997585" cy="147447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4075" l="0" r="0" t="14075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474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Kelem dos Reis Soares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10/12/1985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NATURALIDADE: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Caxias do Sul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ESTADO CIVIL: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Solteira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ENDEREÇO: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R. Arthur Rodolfo Rossarola, 1202 Planalto 2 - Caxias do Sul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95088420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TELEFONE: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(54) 991955844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RG: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1094895974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                               CPF: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008.938.790-29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CARTEIRA PROFISSIONAL: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3203719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SÉRIE: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001-0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TÍTULO: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087261160426</w:t>
        <w:tab/>
        <w:tab/>
        <w:tab/>
        <w:t xml:space="preserve">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CNH: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FORMAÇÃO ESCOLAR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Ensino Médio Completo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CURSOS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Windows, Word, Excel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PCP Módulo 1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EXPERIÊNCIAS PROFISSIONAIS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Muller e Gauer Loterias Ltda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FUNÇÃO: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vendedora / gerente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SALARIO: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R$ 2.000,00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07/05/2024 até a data 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Lenoir Erpen Istalações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FUNÇÃO: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Auxiliar administrativo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SALARIO: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R$ 1.800,00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Janeiro/2023 até Fevereiro/2024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Posto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FUNÇÃO: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Caixa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SALARIO: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R$ 1.196,00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12/12/2020 até 15/05/2021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Mercado e Padaria Familiar (junto com ex-marido)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FUNÇÂO: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Caixa e Atendimento em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Váriavel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PERÌODO: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01/2017 até 11/2019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Luigi Pizzaria Ltda. F02 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FUNÇÂO: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Atendente de Lanchonete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1.029,60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PERÌODO: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TEMPORÁRIO – 11/2016 até 12/2016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TOP Service Serv. E Sist. Ltda. 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FUNÇÂO: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Auxiliar geral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926,27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PERÌODO: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TEMPORÁRIO – 08/2016 até 11/2016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Ditrento Postos e Logistica Ltda 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FUNÇÂO: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Frentista Caixa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1.039,21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PERÌODO: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TEMPORÁRIO – 03/2016 até 06/2016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KS Modas e Beleza - MEI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FUNÇÂO: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Manicure e Pedicure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Variável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PERÌODO: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03/2015 até 02/2016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Labour Serviços 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FUNÇÂO: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Atendente Pleno (FINANCEIRA RENAULT – RCI)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1.173,00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PERÌODO: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TEMPORÁRIO – 12/2014 até 02/2015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Metalúrgica Forma Ltda.                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FUNÇÃO: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Aux. Expedição / Aux. De PCP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R$ 1.177,13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04/2011 até 11/2013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Lisot Jour Decorações Ltda.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FUNÇÃO: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Vendedora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R$ 750,00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09/2010 até 02/2011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Gueds Pan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FUNÇÃO: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Caixa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SALÁRIO: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R$ 1.000,00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 anos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ctSXaoDaGAzuphpf7uvR4ddeQ==">CgMxLjAyCGguZ2pkZ3hzMghoLmdqZGd4czgAciExOWtURkZDQXZfOHVwcWw4VnRNdEdlRklhYXc2Y3IyeFY=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