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                   Currículo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Lucas Erviton Rodrigues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Rua itarare 689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Bairro: bela vista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Caxias do Sul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Cpf:02754281096       solteiro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Fone:054991947774 ou 054992246809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Data de Nascimento:24/09/1991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           Escolaridade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Escola de ensino médio Melvin Jones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Caxias do sul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Ensino médio completo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              Cursos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Técnicas de trabalho acabamento-conteúdo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Do curso:ferramentas manuais e pneumáticas,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Afiação de brocas,ajustagem e acabamento,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Colagem de vidros,metrologia.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             Curso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Controle estatístico do processo CEP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Conteúdo:importância da qualidade,variações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Do processo,escala de medição,preenchimento de cartas de controle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(Variáveis,média,mediana)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preenchimento de cartas.   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       Cursos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Operação de preparação e soldagem nos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Processo de mig/mag,metrologia e leitura e interpretação de desenho técnico aplicado a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Soldadores,ponte rolante/talha,qualificação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Em soldagem (processo 135 P BW/FW FM2 S  t9,5PA/PBml,conforme iso 9606-1).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Última enpresa madal palfinger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09/12/2020 a 10/10/2022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Soldador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Penúltima enpresa controlher serviços de locação de mão de obra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23/09/2020 a 04/12/2020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Embalador a mão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Marcopolo sa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23/08/2023 a  08/02/2024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Soldador 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Mig mag tig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